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23B2" w14:textId="77777777" w:rsidR="00161DA4" w:rsidRPr="00161DA4" w:rsidRDefault="00161DA4" w:rsidP="00161DA4">
      <w:r w:rsidRPr="00161DA4">
        <w:rPr>
          <w:b/>
          <w:bCs/>
        </w:rPr>
        <w:t>Deklaracja Dostępności – strona Gminy Zakrzewo www.zakrzewo.org.pl</w:t>
      </w:r>
    </w:p>
    <w:p w14:paraId="7D703FAC" w14:textId="77777777" w:rsidR="00161DA4" w:rsidRPr="00161DA4" w:rsidRDefault="00161DA4" w:rsidP="00161DA4">
      <w:r w:rsidRPr="00161DA4">
        <w:rPr>
          <w:b/>
          <w:bCs/>
        </w:rPr>
        <w:t>Wstęp</w:t>
      </w:r>
    </w:p>
    <w:p w14:paraId="5647ABC9" w14:textId="77777777" w:rsidR="00161DA4" w:rsidRPr="00161DA4" w:rsidRDefault="00161DA4" w:rsidP="00161DA4">
      <w:r w:rsidRPr="00161DA4">
        <w:t xml:space="preserve">Urząd Gminy Zakrzewo zobowiązuje się zapewniać dostępność swojej strony internetowej zgodnie z przepisami ustawy z dnia 4 kwietnia 2019 r. o dostępności cyfrowej stron internetowych i aplikacji mobilnych podmiotów publicznych. Oświadczenie w sprawie dostępności ma zastosowanie do strony internetowej Gminy Zakrzewo </w:t>
      </w:r>
      <w:hyperlink r:id="rId5" w:history="1">
        <w:r w:rsidRPr="00161DA4">
          <w:rPr>
            <w:rStyle w:val="Hipercze"/>
          </w:rPr>
          <w:t>www.zakrzewo.org.pl</w:t>
        </w:r>
      </w:hyperlink>
    </w:p>
    <w:p w14:paraId="16961311" w14:textId="77777777" w:rsidR="00161DA4" w:rsidRPr="00161DA4" w:rsidRDefault="00161DA4" w:rsidP="00161DA4">
      <w:r w:rsidRPr="00161DA4">
        <w:t> </w:t>
      </w:r>
    </w:p>
    <w:p w14:paraId="16662CE0" w14:textId="77777777" w:rsidR="00161DA4" w:rsidRPr="00161DA4" w:rsidRDefault="00161DA4" w:rsidP="00161DA4">
      <w:r w:rsidRPr="00161DA4">
        <w:rPr>
          <w:b/>
          <w:bCs/>
        </w:rPr>
        <w:t>Daty publikacji i aktualizacji</w:t>
      </w:r>
    </w:p>
    <w:p w14:paraId="68D43B9B" w14:textId="77777777" w:rsidR="00161DA4" w:rsidRPr="00161DA4" w:rsidRDefault="00161DA4" w:rsidP="00161DA4">
      <w:r w:rsidRPr="00161DA4">
        <w:t>Data publikacji strony internetowej: przed 2010 rokiem. Data ostatniej istotnej aktualizacji: 2021-10-06</w:t>
      </w:r>
    </w:p>
    <w:p w14:paraId="30FF85EC" w14:textId="77777777" w:rsidR="00161DA4" w:rsidRPr="00161DA4" w:rsidRDefault="00161DA4" w:rsidP="00161DA4">
      <w:r w:rsidRPr="00161DA4">
        <w:t> </w:t>
      </w:r>
    </w:p>
    <w:p w14:paraId="55C175B1" w14:textId="77777777" w:rsidR="00161DA4" w:rsidRPr="00161DA4" w:rsidRDefault="00161DA4" w:rsidP="00161DA4">
      <w:r w:rsidRPr="00161DA4">
        <w:rPr>
          <w:b/>
          <w:bCs/>
        </w:rPr>
        <w:t>Status pod względem zgodności z ustawą</w:t>
      </w:r>
    </w:p>
    <w:p w14:paraId="79CCE1A9" w14:textId="77777777" w:rsidR="00161DA4" w:rsidRPr="00161DA4" w:rsidRDefault="00161DA4" w:rsidP="00161DA4">
      <w:r w:rsidRPr="00161DA4">
        <w:t xml:space="preserve">Strona internetowa jest częściowo zgodna z ustawą z dnia 4 kwietnia 2019 r. o dostępności cyfrowej stron internetowych i aplikacji mobilnych podmiotów publicznych, jest również zgodna ze standardem WCAG 2.1. za wyjątkiem niezgodności lub </w:t>
      </w:r>
      <w:proofErr w:type="spellStart"/>
      <w:r w:rsidRPr="00161DA4">
        <w:t>wyłączeń</w:t>
      </w:r>
      <w:proofErr w:type="spellEnd"/>
      <w:r w:rsidRPr="00161DA4">
        <w:t xml:space="preserve"> wymienionych poniżej:</w:t>
      </w:r>
    </w:p>
    <w:p w14:paraId="43FA12D8" w14:textId="77777777" w:rsidR="00161DA4" w:rsidRPr="00161DA4" w:rsidRDefault="00161DA4" w:rsidP="00161DA4">
      <w:pPr>
        <w:numPr>
          <w:ilvl w:val="0"/>
          <w:numId w:val="1"/>
        </w:numPr>
      </w:pPr>
      <w:r w:rsidRPr="00161DA4">
        <w:t>Nie wszystkie zdjęcia posiadały tekst alternatywny</w:t>
      </w:r>
    </w:p>
    <w:p w14:paraId="6BB1CB72" w14:textId="77777777" w:rsidR="00161DA4" w:rsidRPr="00161DA4" w:rsidRDefault="00161DA4" w:rsidP="00161DA4">
      <w:pPr>
        <w:numPr>
          <w:ilvl w:val="0"/>
          <w:numId w:val="1"/>
        </w:numPr>
      </w:pPr>
      <w:r w:rsidRPr="00161DA4">
        <w:t>Nie wszystkie przyciski posiadają czytelny tekst</w:t>
      </w:r>
    </w:p>
    <w:p w14:paraId="1ED6D298" w14:textId="77777777" w:rsidR="00161DA4" w:rsidRPr="00161DA4" w:rsidRDefault="00161DA4" w:rsidP="00161DA4">
      <w:pPr>
        <w:numPr>
          <w:ilvl w:val="0"/>
          <w:numId w:val="1"/>
        </w:numPr>
      </w:pPr>
      <w:r w:rsidRPr="00161DA4">
        <w:t>Wszystkie elementy formularza muszą mieć etykiety</w:t>
      </w:r>
    </w:p>
    <w:p w14:paraId="3259E690" w14:textId="77777777" w:rsidR="00161DA4" w:rsidRPr="00161DA4" w:rsidRDefault="00161DA4" w:rsidP="00161DA4">
      <w:pPr>
        <w:numPr>
          <w:ilvl w:val="0"/>
          <w:numId w:val="1"/>
        </w:numPr>
      </w:pPr>
      <w:r w:rsidRPr="00161DA4">
        <w:t>Odstępy między tekstem w wierszu muszą być regulowane za pomocą niestandardowych arkuszy stylów</w:t>
      </w:r>
    </w:p>
    <w:p w14:paraId="3DEEF7E2" w14:textId="77777777" w:rsidR="00161DA4" w:rsidRPr="00161DA4" w:rsidRDefault="00161DA4" w:rsidP="00161DA4">
      <w:pPr>
        <w:numPr>
          <w:ilvl w:val="0"/>
          <w:numId w:val="1"/>
        </w:numPr>
      </w:pPr>
      <w:r w:rsidRPr="00161DA4">
        <w:t>Kilka elementów nie posiada wystarczającego kontrastu kolorów</w:t>
      </w:r>
    </w:p>
    <w:p w14:paraId="13A85D37" w14:textId="77777777" w:rsidR="00161DA4" w:rsidRPr="00161DA4" w:rsidRDefault="00161DA4" w:rsidP="00161DA4">
      <w:pPr>
        <w:numPr>
          <w:ilvl w:val="0"/>
          <w:numId w:val="1"/>
        </w:numPr>
      </w:pPr>
      <w:r w:rsidRPr="00161DA4">
        <w:t>Strona musi mieć możliwość ominięcia powtarzających się bloków</w:t>
      </w:r>
    </w:p>
    <w:p w14:paraId="3D0CBEBA" w14:textId="77777777" w:rsidR="00161DA4" w:rsidRPr="00161DA4" w:rsidRDefault="00161DA4" w:rsidP="00161DA4">
      <w:pPr>
        <w:numPr>
          <w:ilvl w:val="0"/>
          <w:numId w:val="1"/>
        </w:numPr>
      </w:pPr>
      <w:r w:rsidRPr="00161DA4">
        <w:t>Linki o tej samej nazwie prowadzą do innych elementów</w:t>
      </w:r>
    </w:p>
    <w:p w14:paraId="2CFDC4CE" w14:textId="77777777" w:rsidR="00161DA4" w:rsidRPr="00161DA4" w:rsidRDefault="00161DA4" w:rsidP="00161DA4">
      <w:pPr>
        <w:numPr>
          <w:ilvl w:val="0"/>
          <w:numId w:val="1"/>
        </w:numPr>
      </w:pPr>
      <w:r w:rsidRPr="00161DA4">
        <w:t>Wartość atrybutów ID musi być unikalna</w:t>
      </w:r>
    </w:p>
    <w:p w14:paraId="1E73E782" w14:textId="77777777" w:rsidR="00161DA4" w:rsidRPr="00161DA4" w:rsidRDefault="00161DA4" w:rsidP="00161DA4">
      <w:pPr>
        <w:numPr>
          <w:ilvl w:val="0"/>
          <w:numId w:val="1"/>
        </w:numPr>
      </w:pPr>
      <w:r w:rsidRPr="00161DA4">
        <w:t>Wszystkie linki muszą mieć czytelny tekst</w:t>
      </w:r>
    </w:p>
    <w:p w14:paraId="5F852371" w14:textId="77777777" w:rsidR="00161DA4" w:rsidRPr="00161DA4" w:rsidRDefault="00161DA4" w:rsidP="00161DA4">
      <w:pPr>
        <w:numPr>
          <w:ilvl w:val="0"/>
          <w:numId w:val="1"/>
        </w:numPr>
      </w:pPr>
      <w:r w:rsidRPr="00161DA4">
        <w:t>Korekt wymagają niektóre spośród atrybutów ARIA  poprawiające dostępność aplikacji</w:t>
      </w:r>
    </w:p>
    <w:p w14:paraId="11AD8F41" w14:textId="77777777" w:rsidR="00161DA4" w:rsidRPr="00161DA4" w:rsidRDefault="00161DA4" w:rsidP="00161DA4">
      <w:pPr>
        <w:numPr>
          <w:ilvl w:val="0"/>
          <w:numId w:val="1"/>
        </w:numPr>
      </w:pPr>
      <w:r w:rsidRPr="00161DA4">
        <w:t xml:space="preserve">Każdy element musi zawierać poprawny atrybut </w:t>
      </w:r>
      <w:proofErr w:type="spellStart"/>
      <w:r w:rsidRPr="00161DA4">
        <w:t>lang</w:t>
      </w:r>
      <w:proofErr w:type="spellEnd"/>
    </w:p>
    <w:p w14:paraId="4A5D64FD" w14:textId="77777777" w:rsidR="00161DA4" w:rsidRPr="00161DA4" w:rsidRDefault="00161DA4" w:rsidP="00161DA4">
      <w:r w:rsidRPr="00161DA4">
        <w:t>Strona jest na bieżąco aktualizowana, wszelkie stwierdzone niezgodności są poprawiane.</w:t>
      </w:r>
    </w:p>
    <w:p w14:paraId="7BF81679" w14:textId="77777777" w:rsidR="00161DA4" w:rsidRPr="00161DA4" w:rsidRDefault="00161DA4" w:rsidP="00161DA4">
      <w:r w:rsidRPr="00161DA4">
        <w:t> </w:t>
      </w:r>
    </w:p>
    <w:p w14:paraId="7783149E" w14:textId="77777777" w:rsidR="00161DA4" w:rsidRPr="00161DA4" w:rsidRDefault="00161DA4" w:rsidP="00161DA4">
      <w:r w:rsidRPr="00161DA4">
        <w:rPr>
          <w:b/>
          <w:bCs/>
        </w:rPr>
        <w:lastRenderedPageBreak/>
        <w:t>Data sporządzenia Deklaracji i metoda oceny dostępności cyfrowej</w:t>
      </w:r>
    </w:p>
    <w:p w14:paraId="7ABAEA8E" w14:textId="77777777" w:rsidR="00161DA4" w:rsidRPr="00161DA4" w:rsidRDefault="00161DA4" w:rsidP="00161DA4">
      <w:r w:rsidRPr="00161DA4">
        <w:t xml:space="preserve">Oświadczenie sporządzono dnia: 2025-03-31. Deklarację sporządzono na podstawie samooceny przeprowadzonej przez podmiot publiczny oraz skorzystano z dostępnego narzędzia do oceny strony: Test - </w:t>
      </w:r>
      <w:proofErr w:type="spellStart"/>
      <w:r w:rsidRPr="00161DA4">
        <w:t>European</w:t>
      </w:r>
      <w:proofErr w:type="spellEnd"/>
      <w:r w:rsidRPr="00161DA4">
        <w:t xml:space="preserve"> Internet </w:t>
      </w:r>
      <w:proofErr w:type="spellStart"/>
      <w:r w:rsidRPr="00161DA4">
        <w:t>Inclusion</w:t>
      </w:r>
      <w:proofErr w:type="spellEnd"/>
      <w:r w:rsidRPr="00161DA4">
        <w:t xml:space="preserve"> </w:t>
      </w:r>
      <w:proofErr w:type="spellStart"/>
      <w:r w:rsidRPr="00161DA4">
        <w:t>Initiative</w:t>
      </w:r>
      <w:proofErr w:type="spellEnd"/>
      <w:r w:rsidRPr="00161DA4">
        <w:t xml:space="preserve"> (</w:t>
      </w:r>
      <w:hyperlink r:id="rId6" w:tgtFrame="_blank" w:tooltip="Link zewnętrzny otworzy się w nowym oknie" w:history="1">
        <w:r w:rsidRPr="00161DA4">
          <w:rPr>
            <w:rStyle w:val="Hipercze"/>
          </w:rPr>
          <w:t>http://checkers.eiii.eu</w:t>
        </w:r>
      </w:hyperlink>
      <w:r w:rsidRPr="00161DA4">
        <w:t>).  </w:t>
      </w:r>
    </w:p>
    <w:p w14:paraId="6FC53ED9" w14:textId="77777777" w:rsidR="00161DA4" w:rsidRPr="00161DA4" w:rsidRDefault="00161DA4" w:rsidP="00161DA4">
      <w:r w:rsidRPr="00161DA4">
        <w:t> </w:t>
      </w:r>
    </w:p>
    <w:p w14:paraId="7D08EF02" w14:textId="77777777" w:rsidR="00161DA4" w:rsidRPr="00161DA4" w:rsidRDefault="00161DA4" w:rsidP="00161DA4">
      <w:r w:rsidRPr="00161DA4">
        <w:rPr>
          <w:b/>
          <w:bCs/>
        </w:rPr>
        <w:t>Skróty klawiaturowe</w:t>
      </w:r>
    </w:p>
    <w:p w14:paraId="5AC61A62" w14:textId="77777777" w:rsidR="00161DA4" w:rsidRPr="00161DA4" w:rsidRDefault="00161DA4" w:rsidP="00161DA4">
      <w:r w:rsidRPr="00161DA4">
        <w:t>Na stronie internetowej można używać standardowych skrótów klawiaturowych przeglądarki.</w:t>
      </w:r>
    </w:p>
    <w:p w14:paraId="7CEF08C6" w14:textId="77777777" w:rsidR="00161DA4" w:rsidRPr="00161DA4" w:rsidRDefault="00161DA4" w:rsidP="00161DA4">
      <w:r w:rsidRPr="00161DA4">
        <w:t> </w:t>
      </w:r>
    </w:p>
    <w:p w14:paraId="793098B3" w14:textId="77777777" w:rsidR="00161DA4" w:rsidRPr="00161DA4" w:rsidRDefault="00161DA4" w:rsidP="00161DA4">
      <w:r w:rsidRPr="00161DA4">
        <w:rPr>
          <w:b/>
          <w:bCs/>
        </w:rPr>
        <w:t>Informacje zwrotne i dane kontaktowe.</w:t>
      </w:r>
    </w:p>
    <w:p w14:paraId="585F0622" w14:textId="77777777" w:rsidR="00161DA4" w:rsidRPr="00161DA4" w:rsidRDefault="00161DA4" w:rsidP="00161DA4">
      <w:r w:rsidRPr="00161DA4">
        <w:t>W przypadku problemów z dostępnością strony internetowej prosimy o kontakt. Osobą kontaktową jest Marlena Ziółkowska, e-mail: dostepnosc@zakrzewo.org.pl. Kontaktować można się także dzwoniąc na numer telefonu 67 266 70 75 wew. 47. Tą samą drogą można składać wnioski o udostępnienie informacji niedostępnej oraz składać żądania zapewnienia dostępności.</w:t>
      </w:r>
    </w:p>
    <w:p w14:paraId="507B30F9" w14:textId="77777777" w:rsidR="00161DA4" w:rsidRPr="00161DA4" w:rsidRDefault="00161DA4" w:rsidP="00161DA4">
      <w:r w:rsidRPr="00161DA4">
        <w:t> </w:t>
      </w:r>
    </w:p>
    <w:p w14:paraId="2112AC81" w14:textId="77777777" w:rsidR="00161DA4" w:rsidRPr="00161DA4" w:rsidRDefault="00161DA4" w:rsidP="00161DA4">
      <w:r w:rsidRPr="00161DA4">
        <w:rPr>
          <w:b/>
          <w:bCs/>
        </w:rPr>
        <w:t>Informacje na temat procedury</w:t>
      </w:r>
    </w:p>
    <w:p w14:paraId="6470A7DA" w14:textId="77777777" w:rsidR="00161DA4" w:rsidRPr="00161DA4" w:rsidRDefault="00161DA4" w:rsidP="00161DA4">
      <w:r w:rsidRPr="00161DA4">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161DA4">
        <w:t>audiodeskrypcji</w:t>
      </w:r>
      <w:proofErr w:type="spellEnd"/>
      <w:r w:rsidRPr="00161DA4">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p>
    <w:p w14:paraId="50E451FA" w14:textId="77777777" w:rsidR="00161DA4" w:rsidRPr="00161DA4" w:rsidRDefault="00161DA4" w:rsidP="00161DA4">
      <w:r w:rsidRPr="00161DA4">
        <w:lastRenderedPageBreak/>
        <w:t>Biuro Rzecznika Praw Obywatelskich:</w:t>
      </w:r>
    </w:p>
    <w:p w14:paraId="6229C05B" w14:textId="77777777" w:rsidR="00161DA4" w:rsidRPr="00161DA4" w:rsidRDefault="00161DA4" w:rsidP="00161DA4">
      <w:r w:rsidRPr="00161DA4">
        <w:t>al. Solidarności 77</w:t>
      </w:r>
    </w:p>
    <w:p w14:paraId="76C54968" w14:textId="77777777" w:rsidR="00161DA4" w:rsidRPr="00161DA4" w:rsidRDefault="00161DA4" w:rsidP="00161DA4">
      <w:r w:rsidRPr="00161DA4">
        <w:t>00-090 Warszawa</w:t>
      </w:r>
    </w:p>
    <w:p w14:paraId="099E1FA2" w14:textId="77777777" w:rsidR="00161DA4" w:rsidRPr="00161DA4" w:rsidRDefault="00161DA4" w:rsidP="00161DA4">
      <w:r w:rsidRPr="00161DA4">
        <w:t>Telefon (22) 55 17 700</w:t>
      </w:r>
    </w:p>
    <w:p w14:paraId="12303F47" w14:textId="77777777" w:rsidR="00161DA4" w:rsidRPr="00161DA4" w:rsidRDefault="00161DA4" w:rsidP="00161DA4">
      <w:r w:rsidRPr="00161DA4">
        <w:t xml:space="preserve">e-mail: </w:t>
      </w:r>
      <w:hyperlink r:id="rId7" w:history="1">
        <w:r w:rsidRPr="00161DA4">
          <w:rPr>
            <w:rStyle w:val="Hipercze"/>
          </w:rPr>
          <w:t>biurorzecznika@brpo.gov.pl</w:t>
        </w:r>
      </w:hyperlink>
    </w:p>
    <w:p w14:paraId="5FF84DD3" w14:textId="77777777" w:rsidR="00161DA4" w:rsidRPr="00161DA4" w:rsidRDefault="00161DA4" w:rsidP="00161DA4">
      <w:r w:rsidRPr="00161DA4">
        <w:t>https://www.rpo.gov.pl/</w:t>
      </w:r>
    </w:p>
    <w:p w14:paraId="53CE78FC" w14:textId="77777777" w:rsidR="00161DA4" w:rsidRPr="00161DA4" w:rsidRDefault="00161DA4" w:rsidP="00161DA4">
      <w:r w:rsidRPr="00161DA4">
        <w:t> </w:t>
      </w:r>
    </w:p>
    <w:p w14:paraId="33043384" w14:textId="77777777" w:rsidR="00161DA4" w:rsidRPr="00161DA4" w:rsidRDefault="00161DA4" w:rsidP="00161DA4">
      <w:r w:rsidRPr="00161DA4">
        <w:rPr>
          <w:b/>
          <w:bCs/>
        </w:rPr>
        <w:t>Dostępność architektoniczna</w:t>
      </w:r>
    </w:p>
    <w:p w14:paraId="43390BDF" w14:textId="77777777" w:rsidR="00161DA4" w:rsidRPr="00161DA4" w:rsidRDefault="00161DA4" w:rsidP="00161DA4">
      <w:r w:rsidRPr="00161DA4">
        <w:t>Budynek przy ul. Kujańskiej 5, 77-424 Zakrzewo, w którym siedzibę ma Urząd Gminy, nie jest w pełni dostosowany do potrzeb osób niepełnosprawnych.</w:t>
      </w:r>
    </w:p>
    <w:p w14:paraId="7E893756" w14:textId="77777777" w:rsidR="00161DA4" w:rsidRPr="00161DA4" w:rsidRDefault="00161DA4" w:rsidP="00161DA4">
      <w:pPr>
        <w:numPr>
          <w:ilvl w:val="0"/>
          <w:numId w:val="2"/>
        </w:numPr>
      </w:pPr>
      <w:r w:rsidRPr="00161DA4">
        <w:t>Wejście do budynku jest dostosowywane do potrzeb osób niepełnosprawnych</w:t>
      </w:r>
    </w:p>
    <w:p w14:paraId="711CC976" w14:textId="77777777" w:rsidR="00161DA4" w:rsidRPr="00161DA4" w:rsidRDefault="00161DA4" w:rsidP="00161DA4">
      <w:pPr>
        <w:numPr>
          <w:ilvl w:val="0"/>
          <w:numId w:val="2"/>
        </w:numPr>
      </w:pPr>
      <w:r w:rsidRPr="00161DA4">
        <w:t>Korytarze są dostosowane do potrzeb osób niepełnosprawnych, budynek ze względu za jego charakter nie posiada możliwości budowy windy wewnątrz, rozkład pomieszczeń uniemożliwia również instalację windy na zewnątrz.</w:t>
      </w:r>
    </w:p>
    <w:p w14:paraId="7869B15E" w14:textId="77777777" w:rsidR="00161DA4" w:rsidRPr="00161DA4" w:rsidRDefault="00161DA4" w:rsidP="00161DA4">
      <w:pPr>
        <w:numPr>
          <w:ilvl w:val="0"/>
          <w:numId w:val="2"/>
        </w:numPr>
      </w:pPr>
      <w:r w:rsidRPr="00161DA4">
        <w:t>Toalety w budynku zostały przystosowane do potrzeb osób niepełnosprawnych.</w:t>
      </w:r>
    </w:p>
    <w:p w14:paraId="09C66CF2" w14:textId="77777777" w:rsidR="00161DA4" w:rsidRPr="00161DA4" w:rsidRDefault="00161DA4" w:rsidP="00161DA4">
      <w:pPr>
        <w:numPr>
          <w:ilvl w:val="0"/>
          <w:numId w:val="2"/>
        </w:numPr>
      </w:pPr>
      <w:r w:rsidRPr="00161DA4">
        <w:t>W budynku urzędu jest przygotowane biuro przeznaczone do obsługi osób niepełnosprawnych. Zlokalizowane jest na parterze bezpośrednio przy głównym wejściu.</w:t>
      </w:r>
    </w:p>
    <w:p w14:paraId="1C4E34E4" w14:textId="77777777" w:rsidR="00161DA4" w:rsidRPr="00161DA4" w:rsidRDefault="00161DA4" w:rsidP="00161DA4">
      <w:pPr>
        <w:numPr>
          <w:ilvl w:val="0"/>
          <w:numId w:val="2"/>
        </w:numPr>
      </w:pPr>
      <w:r w:rsidRPr="00161DA4">
        <w:t>Przed budynkiem urzędu zostało przygotowane miejsce parkingowe dla osób niepełnosprawnych.</w:t>
      </w:r>
    </w:p>
    <w:p w14:paraId="7F4FD269" w14:textId="77777777" w:rsidR="00161DA4" w:rsidRPr="00161DA4" w:rsidRDefault="00161DA4" w:rsidP="00161DA4">
      <w:pPr>
        <w:numPr>
          <w:ilvl w:val="0"/>
          <w:numId w:val="2"/>
        </w:numPr>
      </w:pPr>
      <w:r w:rsidRPr="00161DA4">
        <w:t>Urząd umożliwia wstęp z psem asystującym.</w:t>
      </w:r>
    </w:p>
    <w:p w14:paraId="34480034" w14:textId="77777777" w:rsidR="00161DA4" w:rsidRPr="00161DA4" w:rsidRDefault="00161DA4" w:rsidP="00161DA4">
      <w:pPr>
        <w:numPr>
          <w:ilvl w:val="0"/>
          <w:numId w:val="2"/>
        </w:numPr>
      </w:pPr>
      <w:r w:rsidRPr="00161DA4">
        <w:t>Urząd umożliwia korzystanie z tłumacza języka migowego on-line.</w:t>
      </w:r>
    </w:p>
    <w:p w14:paraId="493CA0AF" w14:textId="77777777" w:rsidR="00161DA4" w:rsidRPr="00161DA4" w:rsidRDefault="00161DA4" w:rsidP="00161DA4">
      <w:pPr>
        <w:numPr>
          <w:ilvl w:val="0"/>
          <w:numId w:val="2"/>
        </w:numPr>
      </w:pPr>
      <w:r w:rsidRPr="00161DA4">
        <w:t>Zapewniono osobom niewidomym informacji na temat rozkładu pomieszczeń w Urzędzie Gminy.</w:t>
      </w:r>
    </w:p>
    <w:p w14:paraId="35ED3297" w14:textId="77777777" w:rsidR="00161DA4" w:rsidRPr="00161DA4" w:rsidRDefault="00161DA4" w:rsidP="00161DA4">
      <w:pPr>
        <w:numPr>
          <w:ilvl w:val="0"/>
          <w:numId w:val="2"/>
        </w:numPr>
      </w:pPr>
      <w:r w:rsidRPr="00161DA4">
        <w:t>Urząd Gminy w roku 2023 poprawi poziom dostępności cyfrowej i architektonicznej dzięki realizacji projektu grantowego Dostępny Samorząd Realizowanego przez Państwowy Fundusz Rehabilitacji Osób Niepełnosprawnych.</w:t>
      </w:r>
    </w:p>
    <w:p w14:paraId="67BA9C9A" w14:textId="77777777" w:rsidR="00161DA4" w:rsidRPr="00161DA4" w:rsidRDefault="00161DA4" w:rsidP="00161DA4">
      <w:r w:rsidRPr="00161DA4">
        <w:t> </w:t>
      </w:r>
    </w:p>
    <w:p w14:paraId="7D16A04D" w14:textId="77777777" w:rsidR="00161DA4" w:rsidRPr="00161DA4" w:rsidRDefault="00161DA4" w:rsidP="00161DA4">
      <w:r w:rsidRPr="00161DA4">
        <w:rPr>
          <w:b/>
          <w:bCs/>
        </w:rPr>
        <w:t>Aplikacje mobilne</w:t>
      </w:r>
    </w:p>
    <w:p w14:paraId="68109A70" w14:textId="77777777" w:rsidR="00161DA4" w:rsidRPr="00161DA4" w:rsidRDefault="00161DA4" w:rsidP="00161DA4">
      <w:r w:rsidRPr="00161DA4">
        <w:t>Podmiot nie posiada aplikacji mobilnych.</w:t>
      </w:r>
    </w:p>
    <w:p w14:paraId="66A34316" w14:textId="23B0FD04" w:rsidR="008A0B5E" w:rsidRPr="00161DA4" w:rsidRDefault="008A0B5E" w:rsidP="00161DA4"/>
    <w:sectPr w:rsidR="008A0B5E" w:rsidRPr="00161D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DCD"/>
    <w:multiLevelType w:val="multilevel"/>
    <w:tmpl w:val="36604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523A8B"/>
    <w:multiLevelType w:val="multilevel"/>
    <w:tmpl w:val="6D06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141300">
    <w:abstractNumId w:val="1"/>
  </w:num>
  <w:num w:numId="2" w16cid:durableId="177700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E5"/>
    <w:rsid w:val="000962F5"/>
    <w:rsid w:val="000F2CDA"/>
    <w:rsid w:val="00105CC6"/>
    <w:rsid w:val="001303FC"/>
    <w:rsid w:val="00161DA4"/>
    <w:rsid w:val="00193DE5"/>
    <w:rsid w:val="001C2B55"/>
    <w:rsid w:val="002316F1"/>
    <w:rsid w:val="00231B16"/>
    <w:rsid w:val="00261384"/>
    <w:rsid w:val="002825CD"/>
    <w:rsid w:val="002937CD"/>
    <w:rsid w:val="002A6B45"/>
    <w:rsid w:val="002D2940"/>
    <w:rsid w:val="00346FE0"/>
    <w:rsid w:val="003A47F8"/>
    <w:rsid w:val="00467F16"/>
    <w:rsid w:val="004C0ED8"/>
    <w:rsid w:val="004C1881"/>
    <w:rsid w:val="005448E5"/>
    <w:rsid w:val="00563F03"/>
    <w:rsid w:val="005753B3"/>
    <w:rsid w:val="005A3C63"/>
    <w:rsid w:val="005B5D00"/>
    <w:rsid w:val="005E3743"/>
    <w:rsid w:val="00606DE5"/>
    <w:rsid w:val="006605E9"/>
    <w:rsid w:val="006F51AA"/>
    <w:rsid w:val="0070533D"/>
    <w:rsid w:val="0072160B"/>
    <w:rsid w:val="0073282E"/>
    <w:rsid w:val="0076325D"/>
    <w:rsid w:val="00792D6B"/>
    <w:rsid w:val="007F39B4"/>
    <w:rsid w:val="008527C9"/>
    <w:rsid w:val="008A08D3"/>
    <w:rsid w:val="008A0B5E"/>
    <w:rsid w:val="008A7004"/>
    <w:rsid w:val="008E3D22"/>
    <w:rsid w:val="00902165"/>
    <w:rsid w:val="00906432"/>
    <w:rsid w:val="00960AB2"/>
    <w:rsid w:val="009B3EE6"/>
    <w:rsid w:val="009E2E18"/>
    <w:rsid w:val="00A0140E"/>
    <w:rsid w:val="00A66364"/>
    <w:rsid w:val="00A869C2"/>
    <w:rsid w:val="00B13456"/>
    <w:rsid w:val="00BA6183"/>
    <w:rsid w:val="00BB4ED8"/>
    <w:rsid w:val="00BF517A"/>
    <w:rsid w:val="00D224BB"/>
    <w:rsid w:val="00D73DE7"/>
    <w:rsid w:val="00DC3017"/>
    <w:rsid w:val="00E57C26"/>
    <w:rsid w:val="00ED5046"/>
    <w:rsid w:val="00EF5876"/>
    <w:rsid w:val="00F827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52DE"/>
  <w15:chartTrackingRefBased/>
  <w15:docId w15:val="{B8BDF34D-8714-4E66-8A06-15CC878A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06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06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06DE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06DE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06DE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06DE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DE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DE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DE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DE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06DE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06DE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06DE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06DE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06D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D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D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DE5"/>
    <w:rPr>
      <w:rFonts w:eastAsiaTheme="majorEastAsia" w:cstheme="majorBidi"/>
      <w:color w:val="272727" w:themeColor="text1" w:themeTint="D8"/>
    </w:rPr>
  </w:style>
  <w:style w:type="paragraph" w:styleId="Tytu">
    <w:name w:val="Title"/>
    <w:basedOn w:val="Normalny"/>
    <w:next w:val="Normalny"/>
    <w:link w:val="TytuZnak"/>
    <w:uiPriority w:val="10"/>
    <w:qFormat/>
    <w:rsid w:val="00606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D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DE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D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DE5"/>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DE5"/>
    <w:rPr>
      <w:i/>
      <w:iCs/>
      <w:color w:val="404040" w:themeColor="text1" w:themeTint="BF"/>
    </w:rPr>
  </w:style>
  <w:style w:type="paragraph" w:styleId="Akapitzlist">
    <w:name w:val="List Paragraph"/>
    <w:basedOn w:val="Normalny"/>
    <w:uiPriority w:val="34"/>
    <w:qFormat/>
    <w:rsid w:val="00606DE5"/>
    <w:pPr>
      <w:ind w:left="720"/>
      <w:contextualSpacing/>
    </w:pPr>
  </w:style>
  <w:style w:type="character" w:styleId="Wyrnienieintensywne">
    <w:name w:val="Intense Emphasis"/>
    <w:basedOn w:val="Domylnaczcionkaakapitu"/>
    <w:uiPriority w:val="21"/>
    <w:qFormat/>
    <w:rsid w:val="00606DE5"/>
    <w:rPr>
      <w:i/>
      <w:iCs/>
      <w:color w:val="2F5496" w:themeColor="accent1" w:themeShade="BF"/>
    </w:rPr>
  </w:style>
  <w:style w:type="paragraph" w:styleId="Cytatintensywny">
    <w:name w:val="Intense Quote"/>
    <w:basedOn w:val="Normalny"/>
    <w:next w:val="Normalny"/>
    <w:link w:val="CytatintensywnyZnak"/>
    <w:uiPriority w:val="30"/>
    <w:qFormat/>
    <w:rsid w:val="00606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06DE5"/>
    <w:rPr>
      <w:i/>
      <w:iCs/>
      <w:color w:val="2F5496" w:themeColor="accent1" w:themeShade="BF"/>
    </w:rPr>
  </w:style>
  <w:style w:type="character" w:styleId="Odwoanieintensywne">
    <w:name w:val="Intense Reference"/>
    <w:basedOn w:val="Domylnaczcionkaakapitu"/>
    <w:uiPriority w:val="32"/>
    <w:qFormat/>
    <w:rsid w:val="00606DE5"/>
    <w:rPr>
      <w:b/>
      <w:bCs/>
      <w:smallCaps/>
      <w:color w:val="2F5496" w:themeColor="accent1" w:themeShade="BF"/>
      <w:spacing w:val="5"/>
    </w:rPr>
  </w:style>
  <w:style w:type="character" w:styleId="Hipercze">
    <w:name w:val="Hyperlink"/>
    <w:basedOn w:val="Domylnaczcionkaakapitu"/>
    <w:uiPriority w:val="99"/>
    <w:unhideWhenUsed/>
    <w:rsid w:val="00792D6B"/>
    <w:rPr>
      <w:color w:val="0563C1" w:themeColor="hyperlink"/>
      <w:u w:val="single"/>
    </w:rPr>
  </w:style>
  <w:style w:type="character" w:styleId="Nierozpoznanawzmianka">
    <w:name w:val="Unresolved Mention"/>
    <w:basedOn w:val="Domylnaczcionkaakapitu"/>
    <w:uiPriority w:val="99"/>
    <w:semiHidden/>
    <w:unhideWhenUsed/>
    <w:rsid w:val="00792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urorzecznika@b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ckers.eiii.eu/" TargetMode="External"/><Relationship Id="rId5" Type="http://schemas.openxmlformats.org/officeDocument/2006/relationships/hyperlink" Target="http://www.zakrzewo.org.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804</Words>
  <Characters>4827</Characters>
  <Application>Microsoft Office Word</Application>
  <DocSecurity>0</DocSecurity>
  <Lines>40</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Szmyt</dc:creator>
  <cp:keywords/>
  <dc:description/>
  <cp:lastModifiedBy>Marlena Ziółkowska</cp:lastModifiedBy>
  <cp:revision>2</cp:revision>
  <dcterms:created xsi:type="dcterms:W3CDTF">2026-04-03T07:43:00Z</dcterms:created>
  <dcterms:modified xsi:type="dcterms:W3CDTF">2026-04-03T07:43:00Z</dcterms:modified>
</cp:coreProperties>
</file>